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54" w:rsidRDefault="0096640F" w:rsidP="0096640F">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Депутату Государственной Думы</w:t>
      </w:r>
    </w:p>
    <w:p w:rsidR="005A1B01" w:rsidRDefault="001F1954" w:rsidP="0096640F">
      <w:pPr>
        <w:spacing w:after="0" w:line="240" w:lineRule="auto"/>
        <w:contextualSpacing/>
        <w:jc w:val="right"/>
        <w:rPr>
          <w:rFonts w:ascii="Times New Roman" w:hAnsi="Times New Roman" w:cs="Times New Roman"/>
          <w:sz w:val="24"/>
          <w:szCs w:val="24"/>
        </w:rPr>
      </w:pPr>
      <w:r w:rsidRPr="0096640F">
        <w:rPr>
          <w:rFonts w:ascii="Times New Roman" w:hAnsi="Times New Roman" w:cs="Times New Roman"/>
          <w:sz w:val="24"/>
          <w:szCs w:val="24"/>
        </w:rPr>
        <w:t>Федерального Собрания Российской Федерации</w:t>
      </w:r>
      <w:r>
        <w:rPr>
          <w:rFonts w:ascii="Times New Roman" w:hAnsi="Times New Roman" w:cs="Times New Roman"/>
          <w:sz w:val="24"/>
          <w:szCs w:val="24"/>
        </w:rPr>
        <w:t>,</w:t>
      </w:r>
      <w:r w:rsidR="0096640F">
        <w:rPr>
          <w:rFonts w:ascii="Times New Roman" w:hAnsi="Times New Roman" w:cs="Times New Roman"/>
          <w:sz w:val="24"/>
          <w:szCs w:val="24"/>
        </w:rPr>
        <w:t xml:space="preserve"> </w:t>
      </w:r>
    </w:p>
    <w:p w:rsidR="0096640F" w:rsidRDefault="0096640F" w:rsidP="0096640F">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члену Всероссийской политической партии</w:t>
      </w:r>
    </w:p>
    <w:p w:rsidR="0096640F" w:rsidRDefault="0096640F" w:rsidP="0096640F">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«ЕДИНАЯ РОССИЯ»</w:t>
      </w:r>
    </w:p>
    <w:p w:rsidR="0096640F" w:rsidRDefault="0096640F" w:rsidP="0096640F">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Дьяконовой Татьяне Ивановне</w:t>
      </w:r>
    </w:p>
    <w:p w:rsidR="0096640F" w:rsidRDefault="0096640F" w:rsidP="0096640F">
      <w:pPr>
        <w:spacing w:after="0" w:line="240" w:lineRule="auto"/>
        <w:contextualSpacing/>
        <w:rPr>
          <w:rFonts w:ascii="Times New Roman" w:hAnsi="Times New Roman" w:cs="Times New Roman"/>
          <w:sz w:val="24"/>
          <w:szCs w:val="24"/>
        </w:rPr>
      </w:pPr>
    </w:p>
    <w:p w:rsidR="0096640F" w:rsidRDefault="0096640F" w:rsidP="0096640F">
      <w:pPr>
        <w:spacing w:after="0" w:line="240" w:lineRule="auto"/>
        <w:contextualSpacing/>
        <w:jc w:val="center"/>
        <w:rPr>
          <w:rFonts w:ascii="Times New Roman" w:hAnsi="Times New Roman" w:cs="Times New Roman"/>
          <w:b/>
          <w:sz w:val="24"/>
          <w:szCs w:val="24"/>
        </w:rPr>
      </w:pPr>
      <w:r w:rsidRPr="0096640F">
        <w:rPr>
          <w:rFonts w:ascii="Times New Roman" w:hAnsi="Times New Roman" w:cs="Times New Roman"/>
          <w:b/>
          <w:sz w:val="24"/>
          <w:szCs w:val="24"/>
        </w:rPr>
        <w:t xml:space="preserve">ОБРАЩЕНИЕ </w:t>
      </w:r>
    </w:p>
    <w:p w:rsidR="00FF1E96" w:rsidRPr="0096640F" w:rsidRDefault="00FF1E96" w:rsidP="0096640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ОПЕРАТОРОВ НАРУЖНОЙ РЕКЛАМЫ И РЕКЛАМЫ НА ТРАНСПОРТЕ</w:t>
      </w:r>
    </w:p>
    <w:p w:rsidR="005A1B01" w:rsidRDefault="005A1B01" w:rsidP="0096640F">
      <w:pPr>
        <w:spacing w:after="0" w:line="240" w:lineRule="auto"/>
        <w:ind w:firstLine="708"/>
        <w:contextualSpacing/>
        <w:jc w:val="both"/>
        <w:rPr>
          <w:rFonts w:ascii="Times New Roman" w:hAnsi="Times New Roman" w:cs="Times New Roman"/>
          <w:sz w:val="24"/>
          <w:szCs w:val="24"/>
        </w:rPr>
      </w:pPr>
    </w:p>
    <w:p w:rsidR="00FF1E96" w:rsidRPr="009630D2" w:rsidRDefault="00FF1E96" w:rsidP="009630D2">
      <w:pPr>
        <w:spacing w:after="0" w:line="240" w:lineRule="auto"/>
        <w:ind w:firstLine="708"/>
        <w:contextualSpacing/>
        <w:jc w:val="both"/>
        <w:rPr>
          <w:rFonts w:ascii="Times New Roman" w:hAnsi="Times New Roman" w:cs="Times New Roman"/>
          <w:sz w:val="24"/>
          <w:szCs w:val="24"/>
        </w:rPr>
      </w:pPr>
      <w:r w:rsidRPr="009630D2">
        <w:rPr>
          <w:rFonts w:ascii="Times New Roman" w:hAnsi="Times New Roman" w:cs="Times New Roman"/>
          <w:sz w:val="24"/>
          <w:szCs w:val="24"/>
        </w:rPr>
        <w:t>Уважаемая Татьяна Ивановна!</w:t>
      </w:r>
    </w:p>
    <w:p w:rsidR="005A1B01" w:rsidRPr="009630D2" w:rsidRDefault="00A5321F" w:rsidP="009630D2">
      <w:pPr>
        <w:spacing w:after="0" w:line="240" w:lineRule="auto"/>
        <w:ind w:firstLine="708"/>
        <w:contextualSpacing/>
        <w:jc w:val="both"/>
        <w:rPr>
          <w:rFonts w:ascii="Times New Roman" w:hAnsi="Times New Roman" w:cs="Times New Roman"/>
          <w:sz w:val="24"/>
          <w:szCs w:val="24"/>
        </w:rPr>
      </w:pPr>
      <w:r w:rsidRPr="009630D2">
        <w:rPr>
          <w:rFonts w:ascii="Times New Roman" w:hAnsi="Times New Roman" w:cs="Times New Roman"/>
          <w:sz w:val="24"/>
          <w:szCs w:val="24"/>
        </w:rPr>
        <w:t xml:space="preserve">Законопроект «О внесении изменений </w:t>
      </w:r>
      <w:r w:rsidR="00FF1E96" w:rsidRPr="009630D2">
        <w:rPr>
          <w:rFonts w:ascii="Times New Roman" w:hAnsi="Times New Roman" w:cs="Times New Roman"/>
          <w:sz w:val="24"/>
          <w:szCs w:val="24"/>
        </w:rPr>
        <w:t>в Федеральный закон «О рекламе»</w:t>
      </w:r>
      <w:r w:rsidRPr="009630D2">
        <w:rPr>
          <w:rFonts w:ascii="Times New Roman" w:hAnsi="Times New Roman" w:cs="Times New Roman"/>
          <w:sz w:val="24"/>
          <w:szCs w:val="24"/>
        </w:rPr>
        <w:t xml:space="preserve"> </w:t>
      </w:r>
      <w:r w:rsidR="00FF1E96" w:rsidRPr="009630D2">
        <w:rPr>
          <w:rFonts w:ascii="Times New Roman" w:hAnsi="Times New Roman" w:cs="Times New Roman"/>
          <w:sz w:val="24"/>
          <w:szCs w:val="24"/>
        </w:rPr>
        <w:t xml:space="preserve">                      №</w:t>
      </w:r>
      <w:r w:rsidRPr="009630D2">
        <w:rPr>
          <w:rFonts w:ascii="Times New Roman" w:hAnsi="Times New Roman" w:cs="Times New Roman"/>
          <w:sz w:val="24"/>
          <w:szCs w:val="24"/>
        </w:rPr>
        <w:t xml:space="preserve">160605-8 по вопросу распространения цифровой наружной рекламы и установки цифровых рекламных конструкций (далее – Законопроект) внесен в Государственную Думу ФС РФ 8 июля 2022 года и принят в первом чтении 15 июля 2022 года на внеплановом пленарном заседании.  </w:t>
      </w:r>
    </w:p>
    <w:p w:rsidR="009630D2" w:rsidRDefault="009630D2" w:rsidP="009630D2">
      <w:pPr>
        <w:autoSpaceDE w:val="0"/>
        <w:autoSpaceDN w:val="0"/>
        <w:adjustRightInd w:val="0"/>
        <w:spacing w:after="0" w:line="240" w:lineRule="auto"/>
        <w:ind w:firstLine="851"/>
        <w:jc w:val="both"/>
        <w:rPr>
          <w:rFonts w:ascii="Times New Roman" w:hAnsi="Times New Roman" w:cs="Times New Roman"/>
          <w:b/>
          <w:sz w:val="24"/>
          <w:szCs w:val="24"/>
        </w:rPr>
      </w:pPr>
    </w:p>
    <w:p w:rsidR="009630D2" w:rsidRPr="009630D2" w:rsidRDefault="009630D2" w:rsidP="009630D2">
      <w:pPr>
        <w:autoSpaceDE w:val="0"/>
        <w:autoSpaceDN w:val="0"/>
        <w:adjustRightInd w:val="0"/>
        <w:spacing w:after="0" w:line="240" w:lineRule="auto"/>
        <w:ind w:firstLine="851"/>
        <w:jc w:val="both"/>
        <w:rPr>
          <w:rFonts w:ascii="Times New Roman" w:hAnsi="Times New Roman" w:cs="Times New Roman"/>
          <w:color w:val="000000"/>
          <w:sz w:val="24"/>
          <w:szCs w:val="24"/>
        </w:rPr>
      </w:pPr>
      <w:r w:rsidRPr="009630D2">
        <w:rPr>
          <w:rFonts w:ascii="Times New Roman" w:hAnsi="Times New Roman" w:cs="Times New Roman"/>
          <w:b/>
          <w:sz w:val="24"/>
          <w:szCs w:val="24"/>
        </w:rPr>
        <w:t>1.</w:t>
      </w:r>
      <w:r w:rsidRPr="009630D2">
        <w:rPr>
          <w:rFonts w:ascii="Times New Roman" w:hAnsi="Times New Roman" w:cs="Times New Roman"/>
          <w:sz w:val="24"/>
          <w:szCs w:val="24"/>
        </w:rPr>
        <w:t xml:space="preserve"> </w:t>
      </w:r>
      <w:r w:rsidRPr="009630D2">
        <w:rPr>
          <w:rFonts w:ascii="Times New Roman" w:hAnsi="Times New Roman" w:cs="Times New Roman"/>
          <w:color w:val="000000"/>
          <w:sz w:val="24"/>
          <w:szCs w:val="24"/>
        </w:rPr>
        <w:t xml:space="preserve">Согласно Пояснительной записке, целью Законопроекта является обеспечение равных условий распространения цифровой рекламы, защиты от размещения на цифровых рекламных носителях информации, угрожающей интересам национальной безопасности. Однако из текста самого Законопроекта не следует, что предлагаемые меры обеспечат заявленные цели. </w:t>
      </w:r>
    </w:p>
    <w:p w:rsidR="009630D2" w:rsidRPr="009630D2" w:rsidRDefault="009630D2" w:rsidP="009630D2">
      <w:pPr>
        <w:autoSpaceDE w:val="0"/>
        <w:autoSpaceDN w:val="0"/>
        <w:adjustRightInd w:val="0"/>
        <w:spacing w:after="0" w:line="240" w:lineRule="auto"/>
        <w:ind w:firstLine="851"/>
        <w:jc w:val="both"/>
        <w:rPr>
          <w:rFonts w:ascii="Times New Roman" w:hAnsi="Times New Roman" w:cs="Times New Roman"/>
          <w:sz w:val="24"/>
          <w:szCs w:val="24"/>
        </w:rPr>
      </w:pPr>
      <w:r w:rsidRPr="009630D2">
        <w:rPr>
          <w:rFonts w:ascii="Times New Roman" w:hAnsi="Times New Roman" w:cs="Times New Roman"/>
          <w:color w:val="000000"/>
          <w:sz w:val="24"/>
          <w:szCs w:val="24"/>
        </w:rPr>
        <w:t xml:space="preserve">Законопроектом вводится понятие «единый оператор цифровых рекламных конструкций и объявлений», в полномочия которого </w:t>
      </w:r>
      <w:r w:rsidRPr="009630D2">
        <w:rPr>
          <w:rFonts w:ascii="Times New Roman" w:hAnsi="Times New Roman" w:cs="Times New Roman"/>
          <w:sz w:val="24"/>
          <w:szCs w:val="24"/>
        </w:rPr>
        <w:t>входит одновременно:</w:t>
      </w:r>
    </w:p>
    <w:p w:rsidR="009630D2" w:rsidRPr="009630D2" w:rsidRDefault="009630D2" w:rsidP="009630D2">
      <w:pPr>
        <w:spacing w:after="0" w:line="240" w:lineRule="auto"/>
        <w:ind w:firstLine="708"/>
        <w:jc w:val="both"/>
        <w:rPr>
          <w:rFonts w:ascii="Times New Roman" w:hAnsi="Times New Roman" w:cs="Times New Roman"/>
          <w:sz w:val="24"/>
          <w:szCs w:val="24"/>
        </w:rPr>
      </w:pPr>
      <w:r w:rsidRPr="009630D2">
        <w:rPr>
          <w:rFonts w:ascii="Times New Roman" w:hAnsi="Times New Roman" w:cs="Times New Roman"/>
          <w:sz w:val="24"/>
          <w:szCs w:val="24"/>
        </w:rPr>
        <w:t>- установка и эксплуатация рекламных конструкций  (п.16 ст.3, ч.1 ст.20, ч.1, ч.3 ст.20.2 ФЗ «О рекламе» в редакции Законопроекта);</w:t>
      </w:r>
    </w:p>
    <w:p w:rsidR="009630D2" w:rsidRPr="009630D2" w:rsidRDefault="009630D2" w:rsidP="009630D2">
      <w:pPr>
        <w:spacing w:after="0" w:line="240" w:lineRule="auto"/>
        <w:ind w:firstLine="708"/>
        <w:jc w:val="both"/>
        <w:rPr>
          <w:rFonts w:ascii="Times New Roman" w:hAnsi="Times New Roman" w:cs="Times New Roman"/>
          <w:sz w:val="24"/>
          <w:szCs w:val="24"/>
        </w:rPr>
      </w:pPr>
      <w:r w:rsidRPr="009630D2">
        <w:rPr>
          <w:rFonts w:ascii="Times New Roman" w:hAnsi="Times New Roman" w:cs="Times New Roman"/>
          <w:sz w:val="24"/>
          <w:szCs w:val="24"/>
        </w:rPr>
        <w:t>- создание и эксплуатация информационного ресурса  (п.16 ст.3 ФЗ ч.6 ст.20.1  «О рекламе» в редакции Законопроекта);</w:t>
      </w:r>
    </w:p>
    <w:p w:rsidR="009630D2" w:rsidRPr="009630D2" w:rsidRDefault="009630D2" w:rsidP="009630D2">
      <w:pPr>
        <w:spacing w:after="0" w:line="240" w:lineRule="auto"/>
        <w:ind w:firstLine="708"/>
        <w:jc w:val="both"/>
        <w:rPr>
          <w:rFonts w:ascii="Times New Roman" w:hAnsi="Times New Roman" w:cs="Times New Roman"/>
          <w:sz w:val="24"/>
          <w:szCs w:val="24"/>
        </w:rPr>
      </w:pPr>
      <w:r w:rsidRPr="009630D2">
        <w:rPr>
          <w:rFonts w:ascii="Times New Roman" w:hAnsi="Times New Roman" w:cs="Times New Roman"/>
          <w:sz w:val="24"/>
          <w:szCs w:val="24"/>
        </w:rPr>
        <w:t>- заключение договоров с собственниками государственного и муниципального транспорта без проведения торгов на срок 30 лет (ч.7, ч.8, ч.9 ст.20 ФЗ «О рекламе» в редакции Законопроекта);</w:t>
      </w:r>
    </w:p>
    <w:p w:rsidR="009630D2" w:rsidRPr="009630D2" w:rsidRDefault="009630D2" w:rsidP="009630D2">
      <w:pPr>
        <w:spacing w:after="0" w:line="240" w:lineRule="auto"/>
        <w:jc w:val="both"/>
        <w:rPr>
          <w:rFonts w:ascii="Times New Roman" w:hAnsi="Times New Roman" w:cs="Times New Roman"/>
          <w:sz w:val="24"/>
          <w:szCs w:val="24"/>
        </w:rPr>
      </w:pPr>
      <w:r w:rsidRPr="009630D2">
        <w:rPr>
          <w:rFonts w:ascii="Times New Roman" w:hAnsi="Times New Roman" w:cs="Times New Roman"/>
          <w:sz w:val="24"/>
          <w:szCs w:val="24"/>
        </w:rPr>
        <w:tab/>
        <w:t xml:space="preserve">- заключение договоров с собственниками государственного и муниципального недвижимого имущества без проведения торгов на 30 лет; при этом аналогичные договоры с иными лицами допускаются исключительно на основании торгов (ч.2, ч.6, ч.7 ст.20.2 ФЗ «О рекламе» в редакции Законопроекта);  </w:t>
      </w:r>
    </w:p>
    <w:p w:rsidR="009630D2" w:rsidRPr="009630D2" w:rsidRDefault="009630D2" w:rsidP="009630D2">
      <w:pPr>
        <w:spacing w:after="0" w:line="240" w:lineRule="auto"/>
        <w:ind w:firstLine="708"/>
        <w:jc w:val="both"/>
        <w:rPr>
          <w:rFonts w:ascii="Times New Roman" w:hAnsi="Times New Roman" w:cs="Times New Roman"/>
          <w:sz w:val="24"/>
          <w:szCs w:val="24"/>
        </w:rPr>
      </w:pPr>
      <w:r w:rsidRPr="009630D2">
        <w:rPr>
          <w:rFonts w:ascii="Times New Roman" w:hAnsi="Times New Roman" w:cs="Times New Roman"/>
          <w:sz w:val="24"/>
          <w:szCs w:val="24"/>
        </w:rPr>
        <w:t>- взимание платы с пользователей информационного ресурса (ч.8, ч.9 ст.20.1 ФЗ «О рекламе» в редакции Законопроекта)</w:t>
      </w:r>
    </w:p>
    <w:p w:rsidR="009630D2" w:rsidRPr="009630D2" w:rsidRDefault="009630D2" w:rsidP="009630D2">
      <w:pPr>
        <w:spacing w:after="0" w:line="240" w:lineRule="auto"/>
        <w:ind w:firstLine="708"/>
        <w:jc w:val="both"/>
        <w:rPr>
          <w:rFonts w:ascii="Times New Roman" w:hAnsi="Times New Roman" w:cs="Times New Roman"/>
          <w:sz w:val="24"/>
          <w:szCs w:val="24"/>
        </w:rPr>
      </w:pPr>
      <w:r w:rsidRPr="009630D2">
        <w:rPr>
          <w:rFonts w:ascii="Times New Roman" w:hAnsi="Times New Roman" w:cs="Times New Roman"/>
          <w:sz w:val="24"/>
          <w:szCs w:val="24"/>
        </w:rPr>
        <w:t>Изложенное свидетельствует о совмещении в руках одного лица (коммерческой организации в соответствии с ч.7 ст.2 Законопроекта) как функции властного управления, так и извлечения прибыли в своем интересе. В результате реализации данной концепции будет создан монополист, который фактически будет обладать неограниченной властью по допущению (или недопущению) на рекламный рынок других участников, определять условия и цену использования информационного ресурса. При этом очевидно, что конкурировать с таким монополистом субъекты малого и среднего предпринимательства не смогут.</w:t>
      </w:r>
    </w:p>
    <w:p w:rsidR="009630D2" w:rsidRPr="009630D2" w:rsidRDefault="009630D2" w:rsidP="009630D2">
      <w:pPr>
        <w:spacing w:after="0" w:line="240" w:lineRule="auto"/>
        <w:ind w:firstLine="708"/>
        <w:jc w:val="both"/>
        <w:rPr>
          <w:rFonts w:ascii="Times New Roman" w:hAnsi="Times New Roman" w:cs="Times New Roman"/>
          <w:sz w:val="24"/>
          <w:szCs w:val="24"/>
        </w:rPr>
      </w:pPr>
      <w:r w:rsidRPr="009630D2">
        <w:rPr>
          <w:rFonts w:ascii="Times New Roman" w:hAnsi="Times New Roman" w:cs="Times New Roman"/>
          <w:sz w:val="24"/>
          <w:szCs w:val="24"/>
        </w:rPr>
        <w:t xml:space="preserve"> </w:t>
      </w:r>
    </w:p>
    <w:p w:rsidR="009630D2" w:rsidRPr="009630D2" w:rsidRDefault="009630D2" w:rsidP="009630D2">
      <w:pPr>
        <w:spacing w:after="0" w:line="240" w:lineRule="auto"/>
        <w:ind w:firstLine="708"/>
        <w:jc w:val="both"/>
        <w:rPr>
          <w:rFonts w:ascii="Times New Roman" w:hAnsi="Times New Roman" w:cs="Times New Roman"/>
          <w:sz w:val="24"/>
          <w:szCs w:val="24"/>
        </w:rPr>
      </w:pPr>
      <w:r w:rsidRPr="009630D2">
        <w:rPr>
          <w:rFonts w:ascii="Times New Roman" w:hAnsi="Times New Roman" w:cs="Times New Roman"/>
          <w:b/>
          <w:sz w:val="24"/>
          <w:szCs w:val="24"/>
        </w:rPr>
        <w:t>2.</w:t>
      </w:r>
      <w:r w:rsidRPr="009630D2">
        <w:rPr>
          <w:rFonts w:ascii="Times New Roman" w:hAnsi="Times New Roman" w:cs="Times New Roman"/>
          <w:sz w:val="24"/>
          <w:szCs w:val="24"/>
        </w:rPr>
        <w:t xml:space="preserve"> В Законопроекте используется понятие «организации, входящие в группу с единым оператором цифровых рекламных конструкций», при этом из буквального толкования следует, что такие организации обладают теми же преференциями, что и единый оператор (п.20 ст. 3, ч.7, ч.8, ч.10 ст.20, ч.5, ч.8, ч.9 ст.20.2 ФЗ «О рекламе» в редакции Законопроекта). </w:t>
      </w:r>
    </w:p>
    <w:p w:rsidR="009630D2" w:rsidRPr="009630D2" w:rsidRDefault="009630D2" w:rsidP="009630D2">
      <w:pPr>
        <w:spacing w:after="0" w:line="240" w:lineRule="auto"/>
        <w:jc w:val="both"/>
        <w:rPr>
          <w:rFonts w:ascii="Times New Roman" w:hAnsi="Times New Roman" w:cs="Times New Roman"/>
          <w:sz w:val="24"/>
          <w:szCs w:val="24"/>
        </w:rPr>
      </w:pPr>
      <w:r w:rsidRPr="009630D2">
        <w:rPr>
          <w:rFonts w:ascii="Times New Roman" w:hAnsi="Times New Roman" w:cs="Times New Roman"/>
          <w:sz w:val="24"/>
          <w:szCs w:val="24"/>
        </w:rPr>
        <w:tab/>
        <w:t>Толкования данного понятия в Законопроекте не приведено. В правоприменительной практике высок риск того, что:</w:t>
      </w:r>
    </w:p>
    <w:p w:rsidR="009630D2" w:rsidRPr="009630D2" w:rsidRDefault="009630D2" w:rsidP="009630D2">
      <w:pPr>
        <w:spacing w:after="0" w:line="240" w:lineRule="auto"/>
        <w:ind w:firstLine="708"/>
        <w:jc w:val="both"/>
        <w:rPr>
          <w:rFonts w:ascii="Times New Roman" w:hAnsi="Times New Roman" w:cs="Times New Roman"/>
          <w:sz w:val="24"/>
          <w:szCs w:val="24"/>
        </w:rPr>
      </w:pPr>
      <w:r w:rsidRPr="009630D2">
        <w:rPr>
          <w:rFonts w:ascii="Times New Roman" w:hAnsi="Times New Roman" w:cs="Times New Roman"/>
          <w:sz w:val="24"/>
          <w:szCs w:val="24"/>
        </w:rPr>
        <w:lastRenderedPageBreak/>
        <w:t xml:space="preserve">- фактически эту нишу займут организации, аффилированные с единым оператором, т.е. в конечном итоге тот же бенефициар; </w:t>
      </w:r>
    </w:p>
    <w:p w:rsidR="009630D2" w:rsidRPr="009630D2" w:rsidRDefault="009630D2" w:rsidP="009630D2">
      <w:pPr>
        <w:spacing w:after="0" w:line="240" w:lineRule="auto"/>
        <w:ind w:firstLine="708"/>
        <w:jc w:val="both"/>
        <w:rPr>
          <w:rFonts w:ascii="Times New Roman" w:hAnsi="Times New Roman" w:cs="Times New Roman"/>
          <w:sz w:val="24"/>
          <w:szCs w:val="24"/>
        </w:rPr>
      </w:pPr>
      <w:r w:rsidRPr="009630D2">
        <w:rPr>
          <w:rFonts w:ascii="Times New Roman" w:hAnsi="Times New Roman" w:cs="Times New Roman"/>
          <w:sz w:val="24"/>
          <w:szCs w:val="24"/>
        </w:rPr>
        <w:t xml:space="preserve">- единый оператор самовольно установит плату за вхождение в данную группу. </w:t>
      </w:r>
    </w:p>
    <w:p w:rsidR="009630D2" w:rsidRPr="009630D2" w:rsidRDefault="009630D2" w:rsidP="009630D2">
      <w:pPr>
        <w:spacing w:after="0" w:line="240" w:lineRule="auto"/>
        <w:ind w:firstLine="708"/>
        <w:jc w:val="both"/>
        <w:rPr>
          <w:rFonts w:ascii="Times New Roman" w:hAnsi="Times New Roman" w:cs="Times New Roman"/>
          <w:sz w:val="24"/>
          <w:szCs w:val="24"/>
        </w:rPr>
      </w:pPr>
      <w:r w:rsidRPr="009630D2">
        <w:rPr>
          <w:rFonts w:ascii="Times New Roman" w:hAnsi="Times New Roman" w:cs="Times New Roman"/>
          <w:sz w:val="24"/>
          <w:szCs w:val="24"/>
        </w:rPr>
        <w:t xml:space="preserve">Стоит при этом обратить внимание на тот факт, что цифровые рекламные конструкции в настоящее время являются наиболее востребованными и привлекательными для заказчиков рекламы, т.е. наиболее ликвидная часть рынка перейдет под единоличный монополистический контроль одной коммерческой организации. </w:t>
      </w:r>
    </w:p>
    <w:p w:rsidR="009630D2" w:rsidRPr="009630D2" w:rsidRDefault="009630D2" w:rsidP="009630D2">
      <w:pPr>
        <w:spacing w:after="0" w:line="240" w:lineRule="auto"/>
        <w:jc w:val="both"/>
        <w:rPr>
          <w:rFonts w:ascii="Times New Roman" w:hAnsi="Times New Roman" w:cs="Times New Roman"/>
          <w:sz w:val="24"/>
          <w:szCs w:val="24"/>
        </w:rPr>
      </w:pPr>
    </w:p>
    <w:p w:rsidR="009630D2" w:rsidRPr="009630D2" w:rsidRDefault="009630D2" w:rsidP="009630D2">
      <w:pPr>
        <w:spacing w:after="0" w:line="240" w:lineRule="auto"/>
        <w:ind w:firstLine="708"/>
        <w:jc w:val="both"/>
        <w:rPr>
          <w:rFonts w:ascii="Times New Roman" w:hAnsi="Times New Roman" w:cs="Times New Roman"/>
          <w:sz w:val="24"/>
          <w:szCs w:val="24"/>
        </w:rPr>
      </w:pPr>
      <w:r w:rsidRPr="009630D2">
        <w:rPr>
          <w:rFonts w:ascii="Times New Roman" w:hAnsi="Times New Roman" w:cs="Times New Roman"/>
          <w:b/>
          <w:sz w:val="24"/>
          <w:szCs w:val="24"/>
        </w:rPr>
        <w:t>3.</w:t>
      </w:r>
      <w:r w:rsidRPr="009630D2">
        <w:rPr>
          <w:rFonts w:ascii="Times New Roman" w:hAnsi="Times New Roman" w:cs="Times New Roman"/>
          <w:sz w:val="24"/>
          <w:szCs w:val="24"/>
        </w:rPr>
        <w:t xml:space="preserve"> Законопроектом предусмотрено, что Схема размещения цифровых рекламных конструкций включает в себя только цифровые конструкции единого оператора и организаций, входящих в группу с единым оператором (ч. 8, ч.11 ст.20.2 ФЗ «О рекламе» в редакции Законопроекта).</w:t>
      </w:r>
    </w:p>
    <w:p w:rsidR="009630D2" w:rsidRPr="009630D2" w:rsidRDefault="009630D2" w:rsidP="009630D2">
      <w:pPr>
        <w:spacing w:after="0" w:line="240" w:lineRule="auto"/>
        <w:ind w:firstLine="708"/>
        <w:jc w:val="both"/>
        <w:rPr>
          <w:rFonts w:ascii="Times New Roman" w:hAnsi="Times New Roman" w:cs="Times New Roman"/>
          <w:sz w:val="24"/>
          <w:szCs w:val="24"/>
        </w:rPr>
      </w:pPr>
      <w:r w:rsidRPr="009630D2">
        <w:rPr>
          <w:rFonts w:ascii="Times New Roman" w:hAnsi="Times New Roman" w:cs="Times New Roman"/>
          <w:sz w:val="24"/>
          <w:szCs w:val="24"/>
        </w:rPr>
        <w:t xml:space="preserve">Вместе с тем, в Законопроекте не указано, на каком основании будут эксплуатироваться цифровые рекламные конструкции, принадлежащие иным участникам рынка, не изъявившим желание (или не имеющим материальной возможности) войти в группу единого оператора. Таким образом, Законопроект фактически исключает возможность владения цифровой рекламной конструкцией кем-либо, кроме единого оператора. </w:t>
      </w:r>
    </w:p>
    <w:p w:rsidR="009630D2" w:rsidRPr="009630D2" w:rsidRDefault="009630D2" w:rsidP="009630D2">
      <w:pPr>
        <w:spacing w:after="0" w:line="240" w:lineRule="auto"/>
        <w:jc w:val="both"/>
        <w:rPr>
          <w:rFonts w:ascii="Times New Roman" w:hAnsi="Times New Roman" w:cs="Times New Roman"/>
          <w:sz w:val="24"/>
          <w:szCs w:val="24"/>
        </w:rPr>
      </w:pPr>
    </w:p>
    <w:p w:rsidR="009630D2" w:rsidRPr="009630D2" w:rsidRDefault="009630D2" w:rsidP="009630D2">
      <w:pPr>
        <w:spacing w:after="0" w:line="240" w:lineRule="auto"/>
        <w:ind w:firstLine="708"/>
        <w:jc w:val="both"/>
        <w:rPr>
          <w:rFonts w:ascii="Times New Roman" w:hAnsi="Times New Roman" w:cs="Times New Roman"/>
          <w:sz w:val="24"/>
          <w:szCs w:val="24"/>
        </w:rPr>
      </w:pPr>
      <w:r w:rsidRPr="009630D2">
        <w:rPr>
          <w:rFonts w:ascii="Times New Roman" w:hAnsi="Times New Roman" w:cs="Times New Roman"/>
          <w:b/>
          <w:sz w:val="24"/>
          <w:szCs w:val="24"/>
        </w:rPr>
        <w:t>4.</w:t>
      </w:r>
      <w:r w:rsidRPr="009630D2">
        <w:rPr>
          <w:rFonts w:ascii="Times New Roman" w:hAnsi="Times New Roman" w:cs="Times New Roman"/>
          <w:sz w:val="24"/>
          <w:szCs w:val="24"/>
        </w:rPr>
        <w:t xml:space="preserve"> Законопроектом предусмотрено, что установка и эксплуатация цифровых рекламных конструкций единым оператором, а также организациями, входящими в группу с единым оператором, будут освобождены от необходимости получения разрешения на установку и эксплуатацию рекламных конструкций (ч.9 ст.20.2 ФЗ «О рекламе» в редакции Законопроекта). </w:t>
      </w:r>
    </w:p>
    <w:p w:rsidR="009630D2" w:rsidRPr="009630D2" w:rsidRDefault="009630D2" w:rsidP="009630D2">
      <w:pPr>
        <w:spacing w:after="0" w:line="240" w:lineRule="auto"/>
        <w:ind w:firstLine="708"/>
        <w:jc w:val="both"/>
        <w:rPr>
          <w:rFonts w:ascii="Times New Roman" w:hAnsi="Times New Roman" w:cs="Times New Roman"/>
          <w:sz w:val="24"/>
          <w:szCs w:val="24"/>
        </w:rPr>
      </w:pPr>
      <w:r w:rsidRPr="009630D2">
        <w:rPr>
          <w:rFonts w:ascii="Times New Roman" w:hAnsi="Times New Roman" w:cs="Times New Roman"/>
          <w:sz w:val="24"/>
          <w:szCs w:val="24"/>
        </w:rPr>
        <w:t>Реализация этого положения приведет к следующему:</w:t>
      </w:r>
    </w:p>
    <w:p w:rsidR="009630D2" w:rsidRPr="009630D2" w:rsidRDefault="009630D2" w:rsidP="009630D2">
      <w:pPr>
        <w:spacing w:after="0" w:line="240" w:lineRule="auto"/>
        <w:jc w:val="both"/>
        <w:rPr>
          <w:rFonts w:ascii="Times New Roman" w:hAnsi="Times New Roman" w:cs="Times New Roman"/>
          <w:sz w:val="24"/>
          <w:szCs w:val="24"/>
        </w:rPr>
      </w:pPr>
      <w:r w:rsidRPr="009630D2">
        <w:rPr>
          <w:rFonts w:ascii="Times New Roman" w:hAnsi="Times New Roman" w:cs="Times New Roman"/>
          <w:sz w:val="24"/>
          <w:szCs w:val="24"/>
        </w:rPr>
        <w:tab/>
        <w:t>- необоснованная экономия средств монополиста, который и без того получает неограниченный контроль над целой отраслью предпринимательства. Подчеркну, что указанная экономия пойдет не на общественно полезные цели, а пополнит прибыль  участников группы единого оператора;</w:t>
      </w:r>
    </w:p>
    <w:p w:rsidR="009630D2" w:rsidRPr="009630D2" w:rsidRDefault="009630D2" w:rsidP="009630D2">
      <w:pPr>
        <w:spacing w:after="0" w:line="240" w:lineRule="auto"/>
        <w:jc w:val="both"/>
        <w:rPr>
          <w:rFonts w:ascii="Times New Roman" w:hAnsi="Times New Roman" w:cs="Times New Roman"/>
          <w:sz w:val="24"/>
          <w:szCs w:val="24"/>
        </w:rPr>
      </w:pPr>
      <w:r w:rsidRPr="009630D2">
        <w:rPr>
          <w:rFonts w:ascii="Times New Roman" w:hAnsi="Times New Roman" w:cs="Times New Roman"/>
          <w:sz w:val="24"/>
          <w:szCs w:val="24"/>
        </w:rPr>
        <w:tab/>
        <w:t xml:space="preserve">- сокращение доходов муниципальных бюджетов, в которые ранее поступала госпошлина за получение разрешения на установку и эксплуатацию рекламных конструкций. </w:t>
      </w:r>
    </w:p>
    <w:p w:rsidR="009630D2" w:rsidRPr="00626F14" w:rsidRDefault="009630D2" w:rsidP="009630D2">
      <w:pPr>
        <w:spacing w:after="0" w:line="240" w:lineRule="auto"/>
        <w:jc w:val="both"/>
        <w:rPr>
          <w:rFonts w:ascii="Times New Roman" w:hAnsi="Times New Roman" w:cs="Times New Roman"/>
          <w:sz w:val="24"/>
          <w:szCs w:val="24"/>
        </w:rPr>
      </w:pPr>
    </w:p>
    <w:p w:rsidR="009630D2" w:rsidRPr="00626F14" w:rsidRDefault="009630D2" w:rsidP="009630D2">
      <w:pPr>
        <w:spacing w:after="0" w:line="240" w:lineRule="auto"/>
        <w:jc w:val="both"/>
        <w:rPr>
          <w:rFonts w:ascii="Times New Roman" w:hAnsi="Times New Roman" w:cs="Times New Roman"/>
          <w:sz w:val="24"/>
          <w:szCs w:val="24"/>
        </w:rPr>
      </w:pPr>
      <w:r w:rsidRPr="00626F14">
        <w:rPr>
          <w:rFonts w:ascii="Times New Roman" w:hAnsi="Times New Roman" w:cs="Times New Roman"/>
          <w:sz w:val="24"/>
          <w:szCs w:val="24"/>
        </w:rPr>
        <w:tab/>
      </w:r>
      <w:r w:rsidRPr="00626F14">
        <w:rPr>
          <w:rFonts w:ascii="Times New Roman" w:hAnsi="Times New Roman" w:cs="Times New Roman"/>
          <w:b/>
          <w:sz w:val="24"/>
          <w:szCs w:val="24"/>
        </w:rPr>
        <w:t xml:space="preserve">5. </w:t>
      </w:r>
      <w:r w:rsidRPr="00626F14">
        <w:rPr>
          <w:rFonts w:ascii="Times New Roman" w:hAnsi="Times New Roman" w:cs="Times New Roman"/>
          <w:sz w:val="24"/>
          <w:szCs w:val="24"/>
        </w:rPr>
        <w:t>Законопроектом предусмотрено, что</w:t>
      </w:r>
      <w:r w:rsidRPr="00626F14">
        <w:rPr>
          <w:rFonts w:ascii="Times New Roman" w:hAnsi="Times New Roman" w:cs="Times New Roman"/>
          <w:b/>
          <w:sz w:val="24"/>
          <w:szCs w:val="24"/>
        </w:rPr>
        <w:t xml:space="preserve"> </w:t>
      </w:r>
      <w:r w:rsidRPr="00626F14">
        <w:rPr>
          <w:rFonts w:ascii="Times New Roman" w:hAnsi="Times New Roman" w:cs="Times New Roman"/>
          <w:sz w:val="24"/>
          <w:szCs w:val="24"/>
        </w:rPr>
        <w:t xml:space="preserve">цена договора на установку и эксплуатацию цифровых рекламных конструкций, включая аренду земельных участков, определяется </w:t>
      </w:r>
      <w:proofErr w:type="spellStart"/>
      <w:r w:rsidRPr="00626F14">
        <w:rPr>
          <w:rFonts w:ascii="Times New Roman" w:hAnsi="Times New Roman" w:cs="Times New Roman"/>
          <w:sz w:val="24"/>
          <w:szCs w:val="24"/>
        </w:rPr>
        <w:t>Минцифры</w:t>
      </w:r>
      <w:proofErr w:type="spellEnd"/>
      <w:r w:rsidRPr="00626F14">
        <w:rPr>
          <w:rFonts w:ascii="Times New Roman" w:hAnsi="Times New Roman" w:cs="Times New Roman"/>
          <w:sz w:val="24"/>
          <w:szCs w:val="24"/>
        </w:rPr>
        <w:t xml:space="preserve"> России, при этом цена должна быть «средневзвешенной», а при отсутствии в конкретном субъекте или муниципальном образовании аналогичного договора цена определения «на основе предложений единого оператора» (ч.4 ст.20.2 ФЗ «О рекламе» в редакции Законопроекта). Очевидно, указанный порядок планируется применять и при размещении рекламы на транспорте. </w:t>
      </w:r>
    </w:p>
    <w:p w:rsidR="009630D2" w:rsidRPr="00626F14" w:rsidRDefault="009630D2" w:rsidP="009630D2">
      <w:pPr>
        <w:spacing w:after="0" w:line="240" w:lineRule="auto"/>
        <w:jc w:val="both"/>
        <w:rPr>
          <w:rFonts w:ascii="Times New Roman" w:hAnsi="Times New Roman" w:cs="Times New Roman"/>
          <w:sz w:val="24"/>
          <w:szCs w:val="24"/>
        </w:rPr>
      </w:pPr>
      <w:r w:rsidRPr="00626F14">
        <w:rPr>
          <w:rFonts w:ascii="Times New Roman" w:hAnsi="Times New Roman" w:cs="Times New Roman"/>
          <w:sz w:val="24"/>
          <w:szCs w:val="24"/>
        </w:rPr>
        <w:tab/>
        <w:t xml:space="preserve">Таким образом, единый оператор не просто получает самые ликвидные места для размещения рекламы, но еще и по цене, предложенной им самим. В случае всех прочих владельцев рекламных конструкций такая цена определяется по результатам торгов на право установки и эксплуатации рекламных конструкций (ст.19 ФЗ «О рекламе»). </w:t>
      </w:r>
    </w:p>
    <w:p w:rsidR="009630D2" w:rsidRPr="00626F14" w:rsidRDefault="009630D2" w:rsidP="009630D2">
      <w:pPr>
        <w:spacing w:after="0" w:line="240" w:lineRule="auto"/>
        <w:ind w:firstLine="708"/>
        <w:jc w:val="both"/>
        <w:rPr>
          <w:rFonts w:ascii="Times New Roman" w:hAnsi="Times New Roman" w:cs="Times New Roman"/>
          <w:sz w:val="24"/>
          <w:szCs w:val="24"/>
        </w:rPr>
      </w:pPr>
      <w:r w:rsidRPr="00626F14">
        <w:rPr>
          <w:rFonts w:ascii="Times New Roman" w:hAnsi="Times New Roman" w:cs="Times New Roman"/>
          <w:sz w:val="24"/>
          <w:szCs w:val="24"/>
        </w:rPr>
        <w:t>Реализация этого положения приведет к следующему:</w:t>
      </w:r>
    </w:p>
    <w:p w:rsidR="009630D2" w:rsidRPr="00626F14" w:rsidRDefault="009630D2" w:rsidP="009630D2">
      <w:pPr>
        <w:spacing w:after="0" w:line="240" w:lineRule="auto"/>
        <w:jc w:val="both"/>
        <w:rPr>
          <w:rFonts w:ascii="Times New Roman" w:hAnsi="Times New Roman" w:cs="Times New Roman"/>
          <w:sz w:val="24"/>
          <w:szCs w:val="24"/>
        </w:rPr>
      </w:pPr>
      <w:r w:rsidRPr="00626F14">
        <w:rPr>
          <w:rFonts w:ascii="Times New Roman" w:hAnsi="Times New Roman" w:cs="Times New Roman"/>
          <w:sz w:val="24"/>
          <w:szCs w:val="24"/>
        </w:rPr>
        <w:tab/>
        <w:t>- необоснованная экономия средств монополиста, который и без того получает неограниченный контроль над целой отраслью предпринимательства. Подчеркну, что указанная экономия пойдет не на общественно полезные цели, а пополнит прибыль  участников группы единого оператора;</w:t>
      </w:r>
    </w:p>
    <w:p w:rsidR="009630D2" w:rsidRPr="00626F14" w:rsidRDefault="009630D2" w:rsidP="009630D2">
      <w:pPr>
        <w:spacing w:after="0" w:line="240" w:lineRule="auto"/>
        <w:jc w:val="both"/>
        <w:rPr>
          <w:rFonts w:ascii="Times New Roman" w:hAnsi="Times New Roman" w:cs="Times New Roman"/>
          <w:sz w:val="24"/>
          <w:szCs w:val="24"/>
        </w:rPr>
      </w:pPr>
      <w:r w:rsidRPr="00626F14">
        <w:rPr>
          <w:rFonts w:ascii="Times New Roman" w:hAnsi="Times New Roman" w:cs="Times New Roman"/>
          <w:sz w:val="24"/>
          <w:szCs w:val="24"/>
        </w:rPr>
        <w:tab/>
      </w:r>
    </w:p>
    <w:p w:rsidR="00626F14" w:rsidRPr="00626F14" w:rsidRDefault="00626F14" w:rsidP="009630D2">
      <w:pPr>
        <w:spacing w:after="0" w:line="240" w:lineRule="auto"/>
        <w:jc w:val="both"/>
        <w:rPr>
          <w:rFonts w:ascii="Times New Roman" w:hAnsi="Times New Roman" w:cs="Times New Roman"/>
          <w:sz w:val="24"/>
          <w:szCs w:val="24"/>
        </w:rPr>
      </w:pPr>
    </w:p>
    <w:p w:rsidR="009630D2" w:rsidRPr="009630D2" w:rsidRDefault="009630D2" w:rsidP="009630D2">
      <w:pPr>
        <w:spacing w:after="0" w:line="240" w:lineRule="auto"/>
        <w:ind w:firstLine="708"/>
        <w:jc w:val="both"/>
        <w:rPr>
          <w:rFonts w:ascii="Times New Roman" w:hAnsi="Times New Roman" w:cs="Times New Roman"/>
          <w:sz w:val="24"/>
          <w:szCs w:val="24"/>
        </w:rPr>
      </w:pPr>
      <w:r w:rsidRPr="009630D2">
        <w:rPr>
          <w:rFonts w:ascii="Times New Roman" w:hAnsi="Times New Roman" w:cs="Times New Roman"/>
          <w:b/>
          <w:sz w:val="24"/>
          <w:szCs w:val="24"/>
        </w:rPr>
        <w:lastRenderedPageBreak/>
        <w:t>6.</w:t>
      </w:r>
      <w:r w:rsidRPr="009630D2">
        <w:rPr>
          <w:rFonts w:ascii="Times New Roman" w:hAnsi="Times New Roman" w:cs="Times New Roman"/>
          <w:sz w:val="24"/>
          <w:szCs w:val="24"/>
        </w:rPr>
        <w:t xml:space="preserve"> На установку цифровых рекламных конструкций не распространяется ГОСТ Р 520444-2003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(ч.12 ст.20.2 (ч.9 ст.20.2 ФЗ «О рекламе» в редакции Законопроекта). </w:t>
      </w:r>
    </w:p>
    <w:p w:rsidR="009630D2" w:rsidRPr="009630D2" w:rsidRDefault="009630D2" w:rsidP="009630D2">
      <w:pPr>
        <w:spacing w:after="0" w:line="240" w:lineRule="auto"/>
        <w:ind w:firstLine="708"/>
        <w:jc w:val="both"/>
        <w:rPr>
          <w:rFonts w:ascii="Times New Roman" w:hAnsi="Times New Roman" w:cs="Times New Roman"/>
          <w:sz w:val="24"/>
          <w:szCs w:val="24"/>
        </w:rPr>
      </w:pPr>
      <w:r w:rsidRPr="009630D2">
        <w:rPr>
          <w:rFonts w:ascii="Times New Roman" w:hAnsi="Times New Roman" w:cs="Times New Roman"/>
          <w:sz w:val="24"/>
          <w:szCs w:val="24"/>
        </w:rPr>
        <w:t>Ничем не обусловленное ограничение, которое ставит под угрозу жизнь и здоровье граждан и безопасность дорожного движения.</w:t>
      </w:r>
    </w:p>
    <w:p w:rsidR="009630D2" w:rsidRPr="009630D2" w:rsidRDefault="009630D2" w:rsidP="009630D2">
      <w:pPr>
        <w:spacing w:after="0" w:line="240" w:lineRule="auto"/>
        <w:ind w:firstLine="708"/>
        <w:jc w:val="both"/>
        <w:rPr>
          <w:rFonts w:ascii="Times New Roman" w:hAnsi="Times New Roman" w:cs="Times New Roman"/>
          <w:sz w:val="24"/>
          <w:szCs w:val="24"/>
        </w:rPr>
      </w:pPr>
    </w:p>
    <w:p w:rsidR="009630D2" w:rsidRPr="009630D2" w:rsidRDefault="009630D2" w:rsidP="009630D2">
      <w:pPr>
        <w:spacing w:after="0" w:line="240" w:lineRule="auto"/>
        <w:ind w:firstLine="568"/>
        <w:contextualSpacing/>
        <w:jc w:val="both"/>
        <w:rPr>
          <w:rFonts w:ascii="Times New Roman" w:hAnsi="Times New Roman" w:cs="Times New Roman"/>
          <w:sz w:val="24"/>
          <w:szCs w:val="24"/>
        </w:rPr>
      </w:pPr>
      <w:r w:rsidRPr="009630D2">
        <w:rPr>
          <w:rFonts w:ascii="Times New Roman" w:hAnsi="Times New Roman" w:cs="Times New Roman"/>
          <w:b/>
          <w:sz w:val="24"/>
          <w:szCs w:val="24"/>
        </w:rPr>
        <w:t xml:space="preserve">7. </w:t>
      </w:r>
      <w:r w:rsidRPr="009630D2">
        <w:rPr>
          <w:rFonts w:ascii="Times New Roman" w:hAnsi="Times New Roman" w:cs="Times New Roman"/>
          <w:sz w:val="24"/>
          <w:szCs w:val="24"/>
        </w:rPr>
        <w:t>Законопроектом предусмотрено, что при заключении договоров с единым оператором цифровых рекламных конструкций не применяются ограничения на распространение рекламы на объектах культурного наследия, памятниках истории и культуры нардов Российской Федерации (ч.13 ст. ст.20.2 ФЗ «О рекламе» в редакции Законопроекта).</w:t>
      </w:r>
    </w:p>
    <w:p w:rsidR="009630D2" w:rsidRPr="009630D2" w:rsidRDefault="009630D2" w:rsidP="009630D2">
      <w:pPr>
        <w:autoSpaceDE w:val="0"/>
        <w:autoSpaceDN w:val="0"/>
        <w:adjustRightInd w:val="0"/>
        <w:spacing w:after="0" w:line="240" w:lineRule="auto"/>
        <w:ind w:firstLine="851"/>
        <w:jc w:val="both"/>
        <w:rPr>
          <w:rFonts w:ascii="Times New Roman" w:hAnsi="Times New Roman" w:cs="Times New Roman"/>
          <w:sz w:val="24"/>
          <w:szCs w:val="24"/>
        </w:rPr>
      </w:pPr>
      <w:r w:rsidRPr="009630D2">
        <w:rPr>
          <w:rFonts w:ascii="Times New Roman" w:hAnsi="Times New Roman" w:cs="Times New Roman"/>
          <w:sz w:val="24"/>
          <w:szCs w:val="24"/>
        </w:rPr>
        <w:t xml:space="preserve">Полагаю неприемлемым подобное исключение, поскольку приоритетность сохранения культурного наследия России очевидно многократно выше интересов единого оператора по распространению рекламы. </w:t>
      </w:r>
    </w:p>
    <w:p w:rsidR="009630D2" w:rsidRPr="009630D2" w:rsidRDefault="009630D2" w:rsidP="009630D2">
      <w:pPr>
        <w:spacing w:after="0" w:line="240" w:lineRule="auto"/>
        <w:ind w:firstLine="568"/>
        <w:contextualSpacing/>
        <w:jc w:val="both"/>
        <w:rPr>
          <w:rFonts w:ascii="Times New Roman" w:hAnsi="Times New Roman" w:cs="Times New Roman"/>
          <w:sz w:val="24"/>
          <w:szCs w:val="24"/>
        </w:rPr>
      </w:pPr>
    </w:p>
    <w:p w:rsidR="009630D2" w:rsidRPr="009630D2" w:rsidRDefault="009630D2" w:rsidP="009630D2">
      <w:pPr>
        <w:spacing w:after="0" w:line="240" w:lineRule="auto"/>
        <w:ind w:firstLine="708"/>
        <w:jc w:val="both"/>
        <w:rPr>
          <w:rFonts w:ascii="Times New Roman" w:hAnsi="Times New Roman" w:cs="Times New Roman"/>
          <w:sz w:val="24"/>
          <w:szCs w:val="24"/>
        </w:rPr>
      </w:pPr>
      <w:r w:rsidRPr="009630D2">
        <w:rPr>
          <w:rFonts w:ascii="Times New Roman" w:hAnsi="Times New Roman" w:cs="Times New Roman"/>
          <w:b/>
          <w:sz w:val="24"/>
          <w:szCs w:val="24"/>
        </w:rPr>
        <w:t>8.</w:t>
      </w:r>
      <w:r w:rsidRPr="009630D2">
        <w:rPr>
          <w:rFonts w:ascii="Times New Roman" w:hAnsi="Times New Roman" w:cs="Times New Roman"/>
          <w:sz w:val="24"/>
          <w:szCs w:val="24"/>
        </w:rPr>
        <w:t xml:space="preserve">  Законопроектом не урегулированы следующие вопросы:</w:t>
      </w:r>
    </w:p>
    <w:p w:rsidR="009630D2" w:rsidRPr="009630D2" w:rsidRDefault="009630D2" w:rsidP="009630D2">
      <w:pPr>
        <w:spacing w:after="0" w:line="240" w:lineRule="auto"/>
        <w:ind w:firstLine="708"/>
        <w:jc w:val="both"/>
        <w:rPr>
          <w:rFonts w:ascii="Times New Roman" w:hAnsi="Times New Roman" w:cs="Times New Roman"/>
          <w:sz w:val="24"/>
          <w:szCs w:val="24"/>
        </w:rPr>
      </w:pPr>
      <w:r w:rsidRPr="009630D2">
        <w:rPr>
          <w:rFonts w:ascii="Times New Roman" w:hAnsi="Times New Roman" w:cs="Times New Roman"/>
          <w:sz w:val="24"/>
          <w:szCs w:val="24"/>
        </w:rPr>
        <w:t>- помимо коммерческой или социальной рекламы, на мониторах распространяются общественно полезная информация, например, оповещения о чрезвычайных ситуациях, а также информация, предоставляемая муниципальными изданиями. Правовой статус данной информации Законопроектом не определен;</w:t>
      </w:r>
    </w:p>
    <w:p w:rsidR="009630D2" w:rsidRPr="009630D2" w:rsidRDefault="009630D2" w:rsidP="009630D2">
      <w:pPr>
        <w:spacing w:after="0" w:line="240" w:lineRule="auto"/>
        <w:ind w:firstLine="708"/>
        <w:jc w:val="both"/>
        <w:rPr>
          <w:rFonts w:ascii="Times New Roman" w:hAnsi="Times New Roman" w:cs="Times New Roman"/>
          <w:sz w:val="24"/>
          <w:szCs w:val="24"/>
        </w:rPr>
      </w:pPr>
      <w:r w:rsidRPr="009630D2">
        <w:rPr>
          <w:rFonts w:ascii="Times New Roman" w:hAnsi="Times New Roman" w:cs="Times New Roman"/>
          <w:sz w:val="24"/>
          <w:szCs w:val="24"/>
        </w:rPr>
        <w:t>- возможность дальнейшей эксплуатации мониторов для распространения рекламы, которые эксплуатируются в настоящее время и не нарушают каких-либо норм. Необходимость демонтажа данных мониторов по формальному надуманному основанию приведет к банкротству небольших компаний-</w:t>
      </w:r>
      <w:proofErr w:type="spellStart"/>
      <w:r w:rsidRPr="009630D2">
        <w:rPr>
          <w:rFonts w:ascii="Times New Roman" w:hAnsi="Times New Roman" w:cs="Times New Roman"/>
          <w:sz w:val="24"/>
          <w:szCs w:val="24"/>
        </w:rPr>
        <w:t>рекламораспространителей</w:t>
      </w:r>
      <w:proofErr w:type="spellEnd"/>
      <w:r w:rsidRPr="009630D2">
        <w:rPr>
          <w:rFonts w:ascii="Times New Roman" w:hAnsi="Times New Roman" w:cs="Times New Roman"/>
          <w:sz w:val="24"/>
          <w:szCs w:val="24"/>
        </w:rPr>
        <w:t xml:space="preserve">, поскольку оборудование, как правило, приобретается в кредит. </w:t>
      </w:r>
    </w:p>
    <w:p w:rsidR="009630D2" w:rsidRPr="009630D2" w:rsidRDefault="009630D2" w:rsidP="009630D2">
      <w:pPr>
        <w:spacing w:after="0" w:line="240" w:lineRule="auto"/>
        <w:ind w:firstLine="708"/>
        <w:contextualSpacing/>
        <w:jc w:val="both"/>
        <w:rPr>
          <w:rFonts w:ascii="Times New Roman" w:hAnsi="Times New Roman" w:cs="Times New Roman"/>
          <w:sz w:val="24"/>
          <w:szCs w:val="24"/>
        </w:rPr>
      </w:pPr>
      <w:r w:rsidRPr="009630D2">
        <w:rPr>
          <w:rFonts w:ascii="Times New Roman" w:hAnsi="Times New Roman" w:cs="Times New Roman"/>
          <w:sz w:val="24"/>
          <w:szCs w:val="24"/>
        </w:rPr>
        <w:t xml:space="preserve">Используемые в настоящее время информационные установки в транспортных средствах уже сейчас позволяют реализовать следующий функционал: </w:t>
      </w:r>
    </w:p>
    <w:p w:rsidR="009630D2" w:rsidRPr="009630D2" w:rsidRDefault="009630D2" w:rsidP="009630D2">
      <w:pPr>
        <w:spacing w:after="0" w:line="240" w:lineRule="auto"/>
        <w:ind w:firstLine="568"/>
        <w:contextualSpacing/>
        <w:jc w:val="both"/>
        <w:rPr>
          <w:rFonts w:ascii="Times New Roman" w:hAnsi="Times New Roman" w:cs="Times New Roman"/>
          <w:sz w:val="24"/>
          <w:szCs w:val="24"/>
        </w:rPr>
      </w:pPr>
      <w:r w:rsidRPr="009630D2">
        <w:rPr>
          <w:rFonts w:ascii="Times New Roman" w:hAnsi="Times New Roman" w:cs="Times New Roman"/>
          <w:sz w:val="24"/>
          <w:szCs w:val="24"/>
        </w:rPr>
        <w:t xml:space="preserve">1) предварительная </w:t>
      </w:r>
      <w:proofErr w:type="spellStart"/>
      <w:r w:rsidRPr="009630D2">
        <w:rPr>
          <w:rFonts w:ascii="Times New Roman" w:hAnsi="Times New Roman" w:cs="Times New Roman"/>
          <w:sz w:val="24"/>
          <w:szCs w:val="24"/>
        </w:rPr>
        <w:t>модерация</w:t>
      </w:r>
      <w:proofErr w:type="spellEnd"/>
      <w:r w:rsidRPr="009630D2">
        <w:rPr>
          <w:rFonts w:ascii="Times New Roman" w:hAnsi="Times New Roman" w:cs="Times New Roman"/>
          <w:sz w:val="24"/>
          <w:szCs w:val="24"/>
        </w:rPr>
        <w:t xml:space="preserve"> контента с целью предотвращения распространения и недопущения распространения недостоверной информации, контроль за размещением рекламы, в том числе настройка стоимости размещения коммерческой информации и прозрачной отчетности для рекламодателей;</w:t>
      </w:r>
    </w:p>
    <w:p w:rsidR="009630D2" w:rsidRPr="009630D2" w:rsidRDefault="009630D2" w:rsidP="009630D2">
      <w:pPr>
        <w:spacing w:after="0" w:line="240" w:lineRule="auto"/>
        <w:ind w:firstLine="568"/>
        <w:contextualSpacing/>
        <w:jc w:val="both"/>
        <w:rPr>
          <w:rFonts w:ascii="Times New Roman" w:hAnsi="Times New Roman" w:cs="Times New Roman"/>
          <w:sz w:val="24"/>
          <w:szCs w:val="24"/>
        </w:rPr>
      </w:pPr>
      <w:r w:rsidRPr="009630D2">
        <w:rPr>
          <w:rFonts w:ascii="Times New Roman" w:hAnsi="Times New Roman" w:cs="Times New Roman"/>
          <w:sz w:val="24"/>
          <w:szCs w:val="24"/>
        </w:rPr>
        <w:t xml:space="preserve">2) исключение возможности самостоятельного </w:t>
      </w:r>
      <w:proofErr w:type="spellStart"/>
      <w:r w:rsidRPr="009630D2">
        <w:rPr>
          <w:rFonts w:ascii="Times New Roman" w:hAnsi="Times New Roman" w:cs="Times New Roman"/>
          <w:sz w:val="24"/>
          <w:szCs w:val="24"/>
        </w:rPr>
        <w:t>немодерируемого</w:t>
      </w:r>
      <w:proofErr w:type="spellEnd"/>
      <w:r w:rsidRPr="009630D2">
        <w:rPr>
          <w:rFonts w:ascii="Times New Roman" w:hAnsi="Times New Roman" w:cs="Times New Roman"/>
          <w:sz w:val="24"/>
          <w:szCs w:val="24"/>
        </w:rPr>
        <w:t xml:space="preserve"> вывода электронных объявлений физических лиц;</w:t>
      </w:r>
    </w:p>
    <w:p w:rsidR="009630D2" w:rsidRPr="009630D2" w:rsidRDefault="009630D2" w:rsidP="009630D2">
      <w:pPr>
        <w:spacing w:after="0" w:line="240" w:lineRule="auto"/>
        <w:ind w:firstLine="568"/>
        <w:contextualSpacing/>
        <w:jc w:val="both"/>
        <w:rPr>
          <w:rFonts w:ascii="Times New Roman" w:hAnsi="Times New Roman" w:cs="Times New Roman"/>
          <w:sz w:val="24"/>
          <w:szCs w:val="24"/>
        </w:rPr>
      </w:pPr>
      <w:r w:rsidRPr="009630D2">
        <w:rPr>
          <w:rFonts w:ascii="Times New Roman" w:hAnsi="Times New Roman" w:cs="Times New Roman"/>
          <w:sz w:val="24"/>
          <w:szCs w:val="24"/>
        </w:rPr>
        <w:t>3) система двухуровневой аутентификации пользователей при входе в аккаунт, что исключает несанкционированный доступ третьих лиц;</w:t>
      </w:r>
    </w:p>
    <w:p w:rsidR="009630D2" w:rsidRPr="009630D2" w:rsidRDefault="009630D2" w:rsidP="009630D2">
      <w:pPr>
        <w:spacing w:after="0" w:line="240" w:lineRule="auto"/>
        <w:ind w:firstLine="568"/>
        <w:contextualSpacing/>
        <w:jc w:val="both"/>
        <w:rPr>
          <w:rFonts w:ascii="Times New Roman" w:hAnsi="Times New Roman" w:cs="Times New Roman"/>
          <w:sz w:val="24"/>
          <w:szCs w:val="24"/>
        </w:rPr>
      </w:pPr>
      <w:r w:rsidRPr="009630D2">
        <w:rPr>
          <w:rFonts w:ascii="Times New Roman" w:hAnsi="Times New Roman" w:cs="Times New Roman"/>
          <w:sz w:val="24"/>
          <w:szCs w:val="24"/>
        </w:rPr>
        <w:t>4) интеграция системы с МЧС России в части оперативного информирования населения непосредственно из ситуационных центров региональных и муниципальных ЦУКС МЧС и ЕДДС в режиме онлайн;</w:t>
      </w:r>
    </w:p>
    <w:p w:rsidR="009630D2" w:rsidRPr="009630D2" w:rsidRDefault="009630D2" w:rsidP="009630D2">
      <w:pPr>
        <w:spacing w:after="0" w:line="240" w:lineRule="auto"/>
        <w:ind w:firstLine="568"/>
        <w:contextualSpacing/>
        <w:jc w:val="both"/>
        <w:rPr>
          <w:rFonts w:ascii="Times New Roman" w:hAnsi="Times New Roman" w:cs="Times New Roman"/>
          <w:sz w:val="24"/>
          <w:szCs w:val="24"/>
        </w:rPr>
      </w:pPr>
      <w:r w:rsidRPr="009630D2">
        <w:rPr>
          <w:rFonts w:ascii="Times New Roman" w:hAnsi="Times New Roman" w:cs="Times New Roman"/>
          <w:sz w:val="24"/>
          <w:szCs w:val="24"/>
        </w:rPr>
        <w:t>Инициаторы Законопроекта не учитывают современные уже работающие системы и успешные технические решения.</w:t>
      </w:r>
    </w:p>
    <w:p w:rsidR="009630D2" w:rsidRPr="009630D2" w:rsidRDefault="009630D2" w:rsidP="009630D2">
      <w:pPr>
        <w:spacing w:after="0" w:line="240" w:lineRule="auto"/>
        <w:ind w:firstLine="568"/>
        <w:contextualSpacing/>
        <w:jc w:val="both"/>
        <w:rPr>
          <w:rFonts w:ascii="Times New Roman" w:hAnsi="Times New Roman" w:cs="Times New Roman"/>
          <w:b/>
          <w:sz w:val="24"/>
          <w:szCs w:val="24"/>
        </w:rPr>
      </w:pPr>
    </w:p>
    <w:p w:rsidR="009630D2" w:rsidRPr="009630D2" w:rsidRDefault="009630D2" w:rsidP="00FC37D5">
      <w:pPr>
        <w:spacing w:after="0" w:line="240" w:lineRule="auto"/>
        <w:ind w:firstLine="568"/>
        <w:contextualSpacing/>
        <w:jc w:val="both"/>
        <w:rPr>
          <w:rFonts w:ascii="Times New Roman" w:hAnsi="Times New Roman" w:cs="Times New Roman"/>
          <w:sz w:val="24"/>
          <w:szCs w:val="24"/>
        </w:rPr>
      </w:pPr>
      <w:r w:rsidRPr="009630D2">
        <w:rPr>
          <w:rFonts w:ascii="Times New Roman" w:hAnsi="Times New Roman" w:cs="Times New Roman"/>
          <w:b/>
          <w:sz w:val="24"/>
          <w:szCs w:val="24"/>
        </w:rPr>
        <w:t xml:space="preserve">9. </w:t>
      </w:r>
      <w:r w:rsidRPr="009630D2">
        <w:rPr>
          <w:rFonts w:ascii="Times New Roman" w:hAnsi="Times New Roman" w:cs="Times New Roman"/>
          <w:sz w:val="24"/>
          <w:szCs w:val="24"/>
        </w:rPr>
        <w:t xml:space="preserve">Правоприменительная практика знает положительные примеры делегирования отдельных </w:t>
      </w:r>
      <w:r w:rsidRPr="009630D2">
        <w:rPr>
          <w:rFonts w:ascii="Times New Roman" w:hAnsi="Times New Roman" w:cs="Times New Roman"/>
          <w:b/>
          <w:sz w:val="24"/>
          <w:szCs w:val="24"/>
        </w:rPr>
        <w:t>технических</w:t>
      </w:r>
      <w:r w:rsidRPr="009630D2">
        <w:rPr>
          <w:rFonts w:ascii="Times New Roman" w:hAnsi="Times New Roman" w:cs="Times New Roman"/>
          <w:sz w:val="24"/>
          <w:szCs w:val="24"/>
        </w:rPr>
        <w:t xml:space="preserve"> функций муниципальным учреждениям, например, в г. Липецке существует Муниципальное казенное учреждение «Городской центр</w:t>
      </w:r>
      <w:r w:rsidR="00FC37D5">
        <w:rPr>
          <w:rFonts w:ascii="Times New Roman" w:hAnsi="Times New Roman" w:cs="Times New Roman"/>
          <w:sz w:val="24"/>
          <w:szCs w:val="24"/>
        </w:rPr>
        <w:t xml:space="preserve"> рекламы».</w:t>
      </w:r>
    </w:p>
    <w:p w:rsidR="009630D2" w:rsidRPr="009630D2" w:rsidRDefault="009630D2" w:rsidP="009630D2">
      <w:pPr>
        <w:spacing w:after="0" w:line="240" w:lineRule="auto"/>
        <w:ind w:firstLine="568"/>
        <w:contextualSpacing/>
        <w:jc w:val="both"/>
        <w:rPr>
          <w:rFonts w:ascii="Times New Roman" w:hAnsi="Times New Roman" w:cs="Times New Roman"/>
          <w:sz w:val="24"/>
          <w:szCs w:val="24"/>
        </w:rPr>
      </w:pPr>
      <w:r w:rsidRPr="009630D2">
        <w:rPr>
          <w:rFonts w:ascii="Times New Roman" w:hAnsi="Times New Roman" w:cs="Times New Roman"/>
          <w:sz w:val="24"/>
          <w:szCs w:val="24"/>
        </w:rPr>
        <w:t>Указанные полномочия закреплены Положением о наружной рекламе в городе Липецке (утв. решением Липецкого городского Совета депутатов от 29.04.2014 №843). При этом МКУ «ГЦР» не вправе осуществлять предпринимательскую деятельность и не участвует в конкурентной борьбе. Аналогичная схема работы реализована во многих регионах России.</w:t>
      </w:r>
    </w:p>
    <w:p w:rsidR="009630D2" w:rsidRPr="009630D2" w:rsidRDefault="009630D2" w:rsidP="009630D2">
      <w:pPr>
        <w:spacing w:after="0" w:line="240" w:lineRule="auto"/>
        <w:ind w:firstLine="568"/>
        <w:contextualSpacing/>
        <w:jc w:val="both"/>
        <w:rPr>
          <w:rFonts w:ascii="Times New Roman" w:hAnsi="Times New Roman" w:cs="Times New Roman"/>
          <w:b/>
          <w:sz w:val="24"/>
          <w:szCs w:val="24"/>
        </w:rPr>
      </w:pPr>
      <w:r w:rsidRPr="009630D2">
        <w:rPr>
          <w:rFonts w:ascii="Times New Roman" w:hAnsi="Times New Roman" w:cs="Times New Roman"/>
          <w:b/>
          <w:sz w:val="24"/>
          <w:szCs w:val="24"/>
        </w:rPr>
        <w:lastRenderedPageBreak/>
        <w:t xml:space="preserve">Полагаю допустимым делегирование отдельных технических функций единому </w:t>
      </w:r>
      <w:r w:rsidRPr="0005189A">
        <w:rPr>
          <w:rFonts w:ascii="Times New Roman" w:hAnsi="Times New Roman" w:cs="Times New Roman"/>
          <w:b/>
          <w:sz w:val="24"/>
          <w:szCs w:val="24"/>
        </w:rPr>
        <w:t>оператору</w:t>
      </w:r>
      <w:r w:rsidR="0005189A" w:rsidRPr="0005189A">
        <w:rPr>
          <w:rFonts w:ascii="Times New Roman" w:hAnsi="Times New Roman" w:cs="Times New Roman"/>
          <w:b/>
          <w:sz w:val="24"/>
          <w:szCs w:val="24"/>
        </w:rPr>
        <w:t xml:space="preserve"> (государственному или муниципальному учреждению) </w:t>
      </w:r>
      <w:r w:rsidRPr="0005189A">
        <w:rPr>
          <w:rFonts w:ascii="Times New Roman" w:hAnsi="Times New Roman" w:cs="Times New Roman"/>
          <w:b/>
          <w:sz w:val="24"/>
          <w:szCs w:val="24"/>
        </w:rPr>
        <w:t xml:space="preserve"> при условии запрета единому оператору заниматься предпринимательской деятельностью</w:t>
      </w:r>
      <w:r w:rsidRPr="009630D2">
        <w:rPr>
          <w:rFonts w:ascii="Times New Roman" w:hAnsi="Times New Roman" w:cs="Times New Roman"/>
          <w:b/>
          <w:sz w:val="24"/>
          <w:szCs w:val="24"/>
        </w:rPr>
        <w:t xml:space="preserve">. </w:t>
      </w:r>
    </w:p>
    <w:p w:rsidR="009630D2" w:rsidRPr="009630D2" w:rsidRDefault="009630D2" w:rsidP="009630D2">
      <w:pPr>
        <w:spacing w:after="0" w:line="240" w:lineRule="auto"/>
        <w:ind w:firstLine="568"/>
        <w:contextualSpacing/>
        <w:jc w:val="both"/>
        <w:rPr>
          <w:rFonts w:ascii="Times New Roman" w:hAnsi="Times New Roman" w:cs="Times New Roman"/>
          <w:sz w:val="24"/>
          <w:szCs w:val="24"/>
        </w:rPr>
      </w:pPr>
    </w:p>
    <w:p w:rsidR="009630D2" w:rsidRDefault="009630D2" w:rsidP="009630D2">
      <w:pPr>
        <w:spacing w:after="0" w:line="240" w:lineRule="auto"/>
        <w:ind w:firstLine="568"/>
        <w:contextualSpacing/>
        <w:jc w:val="both"/>
        <w:rPr>
          <w:rFonts w:ascii="Times New Roman" w:hAnsi="Times New Roman" w:cs="Times New Roman"/>
          <w:sz w:val="24"/>
          <w:szCs w:val="24"/>
        </w:rPr>
      </w:pPr>
      <w:r w:rsidRPr="009630D2">
        <w:rPr>
          <w:rFonts w:ascii="Times New Roman" w:hAnsi="Times New Roman" w:cs="Times New Roman"/>
          <w:b/>
          <w:sz w:val="24"/>
          <w:szCs w:val="24"/>
        </w:rPr>
        <w:t xml:space="preserve">10. </w:t>
      </w:r>
      <w:r w:rsidRPr="009630D2">
        <w:rPr>
          <w:rFonts w:ascii="Times New Roman" w:hAnsi="Times New Roman" w:cs="Times New Roman"/>
          <w:sz w:val="24"/>
          <w:szCs w:val="24"/>
        </w:rPr>
        <w:t xml:space="preserve">На территории Липецкой области среди операторов наружной рекламы и рекламы на транспорте нет резидентов иностранных государств или участников-бенефициаров, контролируемых из-за границы. Большинство участников рекламного рынка – это субъекты малого и среднего предпринимательства, которые оплачивают налоги в российский бюджет и обеспечивают рабочие места жителям региона.  </w:t>
      </w:r>
    </w:p>
    <w:p w:rsidR="0005189A" w:rsidRPr="0005189A" w:rsidRDefault="0005189A" w:rsidP="0005189A">
      <w:pPr>
        <w:spacing w:after="0" w:line="240" w:lineRule="auto"/>
        <w:ind w:firstLine="568"/>
        <w:contextualSpacing/>
        <w:jc w:val="both"/>
        <w:rPr>
          <w:rFonts w:ascii="Times New Roman" w:hAnsi="Times New Roman" w:cs="Times New Roman"/>
          <w:bCs/>
          <w:sz w:val="24"/>
          <w:szCs w:val="24"/>
        </w:rPr>
      </w:pPr>
    </w:p>
    <w:p w:rsidR="009630D2" w:rsidRPr="009630D2" w:rsidRDefault="009630D2" w:rsidP="009630D2">
      <w:pPr>
        <w:spacing w:after="0" w:line="240" w:lineRule="auto"/>
        <w:ind w:firstLine="568"/>
        <w:contextualSpacing/>
        <w:jc w:val="both"/>
        <w:rPr>
          <w:rFonts w:ascii="Times New Roman" w:hAnsi="Times New Roman" w:cs="Times New Roman"/>
          <w:b/>
          <w:sz w:val="24"/>
          <w:szCs w:val="24"/>
        </w:rPr>
      </w:pPr>
    </w:p>
    <w:p w:rsidR="009630D2" w:rsidRDefault="009630D2" w:rsidP="009630D2">
      <w:pPr>
        <w:spacing w:after="0" w:line="240" w:lineRule="auto"/>
        <w:jc w:val="both"/>
        <w:rPr>
          <w:rFonts w:ascii="Times New Roman" w:hAnsi="Times New Roman" w:cs="Times New Roman"/>
          <w:b/>
          <w:sz w:val="24"/>
          <w:szCs w:val="24"/>
        </w:rPr>
      </w:pPr>
      <w:r w:rsidRPr="009630D2">
        <w:rPr>
          <w:rFonts w:ascii="Times New Roman" w:hAnsi="Times New Roman" w:cs="Times New Roman"/>
          <w:sz w:val="24"/>
          <w:szCs w:val="24"/>
        </w:rPr>
        <w:tab/>
      </w:r>
      <w:r w:rsidRPr="009630D2">
        <w:rPr>
          <w:rFonts w:ascii="Times New Roman" w:hAnsi="Times New Roman" w:cs="Times New Roman"/>
          <w:b/>
          <w:sz w:val="24"/>
          <w:szCs w:val="24"/>
        </w:rPr>
        <w:t>Выводы:</w:t>
      </w:r>
    </w:p>
    <w:p w:rsidR="009630D2" w:rsidRDefault="009630D2" w:rsidP="009630D2">
      <w:pPr>
        <w:pStyle w:val="a6"/>
        <w:numPr>
          <w:ilvl w:val="0"/>
          <w:numId w:val="2"/>
        </w:numPr>
        <w:spacing w:after="0" w:line="240" w:lineRule="auto"/>
        <w:jc w:val="both"/>
        <w:rPr>
          <w:rFonts w:ascii="Times New Roman" w:hAnsi="Times New Roman" w:cs="Times New Roman"/>
          <w:sz w:val="24"/>
          <w:szCs w:val="24"/>
        </w:rPr>
      </w:pPr>
      <w:r w:rsidRPr="009630D2">
        <w:rPr>
          <w:rFonts w:ascii="Times New Roman" w:hAnsi="Times New Roman" w:cs="Times New Roman"/>
          <w:sz w:val="24"/>
          <w:szCs w:val="24"/>
        </w:rPr>
        <w:t>Нет ни одной объективной причины предоставления столь беспрецедентных льгот какому-то одному участнику рекламного рынка. Не допустимым является передача юридическому лицу одновременно и административно-властных полномочий, и возможности ведения предпринимательской деятельности;</w:t>
      </w:r>
    </w:p>
    <w:p w:rsidR="009630D2" w:rsidRDefault="009630D2" w:rsidP="009630D2">
      <w:pPr>
        <w:pStyle w:val="a6"/>
        <w:numPr>
          <w:ilvl w:val="0"/>
          <w:numId w:val="2"/>
        </w:numPr>
        <w:spacing w:after="0" w:line="240" w:lineRule="auto"/>
        <w:jc w:val="both"/>
        <w:rPr>
          <w:rFonts w:ascii="Times New Roman" w:hAnsi="Times New Roman" w:cs="Times New Roman"/>
          <w:sz w:val="24"/>
          <w:szCs w:val="24"/>
        </w:rPr>
      </w:pPr>
      <w:r w:rsidRPr="009630D2">
        <w:rPr>
          <w:rFonts w:ascii="Times New Roman" w:hAnsi="Times New Roman" w:cs="Times New Roman"/>
          <w:sz w:val="24"/>
          <w:szCs w:val="24"/>
        </w:rPr>
        <w:t>Реализация Законопроекта станет нарушением основ конкуренции, поставит под угрозу существование большого количества организаций в сфере рекламной деятельности.</w:t>
      </w:r>
    </w:p>
    <w:p w:rsidR="009630D2" w:rsidRDefault="009630D2" w:rsidP="009630D2">
      <w:pPr>
        <w:pStyle w:val="a6"/>
        <w:numPr>
          <w:ilvl w:val="0"/>
          <w:numId w:val="2"/>
        </w:numPr>
        <w:spacing w:after="0" w:line="240" w:lineRule="auto"/>
        <w:jc w:val="both"/>
        <w:rPr>
          <w:rFonts w:ascii="Times New Roman" w:hAnsi="Times New Roman" w:cs="Times New Roman"/>
          <w:sz w:val="24"/>
          <w:szCs w:val="24"/>
        </w:rPr>
      </w:pPr>
      <w:r w:rsidRPr="009630D2">
        <w:rPr>
          <w:rFonts w:ascii="Times New Roman" w:hAnsi="Times New Roman" w:cs="Times New Roman"/>
          <w:sz w:val="24"/>
          <w:szCs w:val="24"/>
        </w:rPr>
        <w:t xml:space="preserve">Законопроект нарушает часть 2 статьи 34 Конституции Российской Федерации, согласно которой не допускается экономическая деятельность, направленная на монополизацию и недобросовестную конкуренцию. </w:t>
      </w:r>
    </w:p>
    <w:p w:rsidR="009630D2" w:rsidRPr="009630D2" w:rsidRDefault="009630D2" w:rsidP="009630D2">
      <w:pPr>
        <w:pStyle w:val="a6"/>
        <w:numPr>
          <w:ilvl w:val="0"/>
          <w:numId w:val="2"/>
        </w:numPr>
        <w:spacing w:after="0" w:line="240" w:lineRule="auto"/>
        <w:jc w:val="both"/>
        <w:rPr>
          <w:rFonts w:ascii="Times New Roman" w:hAnsi="Times New Roman" w:cs="Times New Roman"/>
          <w:sz w:val="24"/>
          <w:szCs w:val="24"/>
        </w:rPr>
      </w:pPr>
      <w:r w:rsidRPr="009630D2">
        <w:rPr>
          <w:rFonts w:ascii="Times New Roman" w:hAnsi="Times New Roman" w:cs="Times New Roman"/>
          <w:sz w:val="24"/>
          <w:szCs w:val="24"/>
        </w:rPr>
        <w:t>Полагаю допустимым делегирование отдельных технических функций единому оператору</w:t>
      </w:r>
      <w:r w:rsidR="0005189A">
        <w:rPr>
          <w:rFonts w:ascii="Times New Roman" w:hAnsi="Times New Roman" w:cs="Times New Roman"/>
          <w:sz w:val="24"/>
          <w:szCs w:val="24"/>
        </w:rPr>
        <w:t xml:space="preserve"> </w:t>
      </w:r>
      <w:r w:rsidR="0005189A" w:rsidRPr="0005189A">
        <w:rPr>
          <w:rFonts w:ascii="Times New Roman" w:hAnsi="Times New Roman" w:cs="Times New Roman"/>
          <w:b/>
          <w:sz w:val="24"/>
          <w:szCs w:val="24"/>
        </w:rPr>
        <w:t xml:space="preserve">(государственному или муниципальному учреждению) </w:t>
      </w:r>
      <w:r w:rsidRPr="0005189A">
        <w:rPr>
          <w:rFonts w:ascii="Times New Roman" w:hAnsi="Times New Roman" w:cs="Times New Roman"/>
          <w:sz w:val="24"/>
          <w:szCs w:val="24"/>
        </w:rPr>
        <w:t xml:space="preserve"> </w:t>
      </w:r>
      <w:r w:rsidRPr="009630D2">
        <w:rPr>
          <w:rFonts w:ascii="Times New Roman" w:hAnsi="Times New Roman" w:cs="Times New Roman"/>
          <w:sz w:val="24"/>
          <w:szCs w:val="24"/>
        </w:rPr>
        <w:t xml:space="preserve">при условии запрета единому оператору заниматься предпринимательской деятельностью. </w:t>
      </w:r>
    </w:p>
    <w:p w:rsidR="005A1B01" w:rsidRDefault="005A1B01" w:rsidP="0096640F">
      <w:pPr>
        <w:spacing w:after="0" w:line="240" w:lineRule="auto"/>
        <w:ind w:firstLine="568"/>
        <w:contextualSpacing/>
        <w:jc w:val="both"/>
        <w:rPr>
          <w:rFonts w:ascii="Times New Roman" w:hAnsi="Times New Roman" w:cs="Times New Roman"/>
          <w:sz w:val="24"/>
          <w:szCs w:val="24"/>
        </w:rPr>
      </w:pPr>
    </w:p>
    <w:p w:rsidR="00FF1E96" w:rsidRDefault="0005189A" w:rsidP="0096640F">
      <w:pPr>
        <w:spacing w:after="0" w:line="240" w:lineRule="auto"/>
        <w:ind w:firstLine="568"/>
        <w:contextualSpacing/>
        <w:jc w:val="both"/>
        <w:rPr>
          <w:rFonts w:ascii="Times New Roman" w:hAnsi="Times New Roman" w:cs="Times New Roman"/>
          <w:sz w:val="24"/>
          <w:szCs w:val="24"/>
        </w:rPr>
      </w:pPr>
      <w:r>
        <w:rPr>
          <w:rFonts w:ascii="Times New Roman" w:hAnsi="Times New Roman" w:cs="Times New Roman"/>
          <w:sz w:val="24"/>
          <w:szCs w:val="24"/>
        </w:rPr>
        <w:t>«22</w:t>
      </w:r>
      <w:r w:rsidR="006774B0">
        <w:rPr>
          <w:rFonts w:ascii="Times New Roman" w:hAnsi="Times New Roman" w:cs="Times New Roman"/>
          <w:sz w:val="24"/>
          <w:szCs w:val="24"/>
        </w:rPr>
        <w:t>» июля 2022 г.</w:t>
      </w:r>
    </w:p>
    <w:p w:rsidR="00F11C26" w:rsidRDefault="00F11C26" w:rsidP="0096640F">
      <w:pPr>
        <w:spacing w:after="0" w:line="240" w:lineRule="auto"/>
        <w:ind w:firstLine="568"/>
        <w:contextualSpacing/>
        <w:jc w:val="both"/>
        <w:rPr>
          <w:rFonts w:ascii="Times New Roman" w:hAnsi="Times New Roman" w:cs="Times New Roman"/>
          <w:sz w:val="24"/>
          <w:szCs w:val="24"/>
        </w:rPr>
      </w:pPr>
    </w:p>
    <w:p w:rsidR="00F11C26" w:rsidRDefault="00F11C26" w:rsidP="0096640F">
      <w:pPr>
        <w:spacing w:after="0" w:line="240" w:lineRule="auto"/>
        <w:ind w:firstLine="568"/>
        <w:contextualSpacing/>
        <w:jc w:val="both"/>
        <w:rPr>
          <w:rFonts w:ascii="Times New Roman" w:hAnsi="Times New Roman" w:cs="Times New Roman"/>
          <w:sz w:val="24"/>
          <w:szCs w:val="24"/>
        </w:rPr>
      </w:pPr>
    </w:p>
    <w:p w:rsidR="005A1B01" w:rsidRPr="0096640F" w:rsidRDefault="005A1B01" w:rsidP="0096640F">
      <w:pPr>
        <w:spacing w:after="0" w:line="240" w:lineRule="auto"/>
        <w:ind w:firstLine="568"/>
        <w:contextualSpacing/>
        <w:jc w:val="both"/>
        <w:rPr>
          <w:rFonts w:ascii="Times New Roman" w:hAnsi="Times New Roman" w:cs="Times New Roman"/>
          <w:sz w:val="24"/>
          <w:szCs w:val="24"/>
        </w:rPr>
      </w:pPr>
    </w:p>
    <w:p w:rsidR="005A1B01" w:rsidRPr="0096640F" w:rsidRDefault="005A1B01" w:rsidP="0096640F">
      <w:pPr>
        <w:spacing w:after="0" w:line="240" w:lineRule="auto"/>
        <w:ind w:firstLine="568"/>
        <w:contextualSpacing/>
        <w:jc w:val="both"/>
        <w:rPr>
          <w:rFonts w:ascii="Times New Roman" w:hAnsi="Times New Roman" w:cs="Times New Roman"/>
          <w:b/>
          <w:sz w:val="24"/>
          <w:szCs w:val="24"/>
        </w:rPr>
      </w:pPr>
      <w:bookmarkStart w:id="0" w:name="_GoBack"/>
      <w:bookmarkEnd w:id="0"/>
    </w:p>
    <w:sectPr w:rsidR="005A1B01" w:rsidRPr="0096640F" w:rsidSect="0096640F">
      <w:pgSz w:w="11906" w:h="16838"/>
      <w:pgMar w:top="1134" w:right="85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3580"/>
    <w:multiLevelType w:val="hybridMultilevel"/>
    <w:tmpl w:val="D696D260"/>
    <w:lvl w:ilvl="0" w:tplc="23FCE94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E1AA0"/>
    <w:multiLevelType w:val="multilevel"/>
    <w:tmpl w:val="4698A048"/>
    <w:lvl w:ilvl="0">
      <w:start w:val="1"/>
      <w:numFmt w:val="decimal"/>
      <w:lvlText w:val="%1."/>
      <w:lvlJc w:val="left"/>
      <w:pPr>
        <w:ind w:left="1070"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D3553CC"/>
    <w:multiLevelType w:val="hybridMultilevel"/>
    <w:tmpl w:val="C6E8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E511A1"/>
    <w:multiLevelType w:val="hybridMultilevel"/>
    <w:tmpl w:val="0DD0665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FE75B5"/>
    <w:multiLevelType w:val="hybridMultilevel"/>
    <w:tmpl w:val="074E8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01"/>
    <w:rsid w:val="0005189A"/>
    <w:rsid w:val="001B3DC3"/>
    <w:rsid w:val="001F1954"/>
    <w:rsid w:val="004B1400"/>
    <w:rsid w:val="005A1B01"/>
    <w:rsid w:val="0060767D"/>
    <w:rsid w:val="00626F14"/>
    <w:rsid w:val="006774B0"/>
    <w:rsid w:val="007B661D"/>
    <w:rsid w:val="0092355F"/>
    <w:rsid w:val="009630D2"/>
    <w:rsid w:val="0096640F"/>
    <w:rsid w:val="009B07EC"/>
    <w:rsid w:val="00A5321F"/>
    <w:rsid w:val="00A83D50"/>
    <w:rsid w:val="00BE2149"/>
    <w:rsid w:val="00F11C26"/>
    <w:rsid w:val="00FA2F7D"/>
    <w:rsid w:val="00FC37D5"/>
    <w:rsid w:val="00FF1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B6F7"/>
  <w15:docId w15:val="{08801D81-84B3-4F88-A279-0897A544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List Paragraph"/>
    <w:basedOn w:val="a"/>
    <w:uiPriority w:val="34"/>
    <w:qFormat/>
    <w:rsid w:val="009630D2"/>
    <w:pPr>
      <w:spacing w:line="252"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OPORA</cp:lastModifiedBy>
  <cp:revision>2</cp:revision>
  <dcterms:created xsi:type="dcterms:W3CDTF">2022-07-27T07:13:00Z</dcterms:created>
  <dcterms:modified xsi:type="dcterms:W3CDTF">2022-07-27T07:13:00Z</dcterms:modified>
</cp:coreProperties>
</file>